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F9D57"/>
          <w:sz w:val="20"/>
        </w:rPr>
        <w:t>ARCHIDIGITAL × СТУДИЯ 44</w:t>
      </w:r>
    </w:p>
    <w:p>
      <w:pPr>
        <w:spacing w:after="120" w:before="200"/>
      </w:pPr>
      <w:r>
        <w:rPr>
          <w:b/>
          <w:color w:val="15140F"/>
          <w:sz w:val="36"/>
        </w:rPr>
        <w:t>Парк «Олега Вещего» — медиа- и интерактивная составляющая</w:t>
      </w:r>
    </w:p>
    <w:p>
      <w:pPr>
        <w:spacing w:after="80" w:before="0"/>
      </w:pPr>
      <w:r>
        <w:rPr>
          <w:b w:val="0"/>
          <w:color w:val="6B6B63"/>
          <w:sz w:val="26"/>
        </w:rPr>
        <w:t>Пояснительная записка к конкурсному альбому</w:t>
      </w:r>
    </w:p>
    <w:p>
      <w:pPr>
        <w:spacing w:after="240"/>
      </w:pPr>
      <w:r>
        <w:rPr>
          <w:b w:val="0"/>
          <w:i w:val="0"/>
          <w:color w:val="6B6B63"/>
          <w:sz w:val="20"/>
        </w:rPr>
        <w:t>с. Старая Ладога · Исполнитель: ArchiDigital (медиаинсталляции и ПО) в соавторстве со Студией 44 · к подаче ~22 июня 2026</w:t>
      </w:r>
    </w:p>
    <w:p>
      <w:pPr>
        <w:spacing w:after="120" w:before="200"/>
      </w:pPr>
      <w:r>
        <w:rPr>
          <w:b/>
          <w:color w:val="1F9D57"/>
          <w:sz w:val="26"/>
        </w:rPr>
        <w:t>Концепция в одном абзаце</w:t>
      </w:r>
    </w:p>
    <w:p>
      <w:pPr>
        <w:spacing w:after="120"/>
      </w:pPr>
      <w:r>
        <w:rPr>
          <w:b w:val="0"/>
          <w:i w:val="0"/>
          <w:color w:val="15140F"/>
          <w:sz w:val="22"/>
        </w:rPr>
        <w:t>Парк «Олега Вещего» — не музей вещей, а музей времени. Мы не строим — мы оживляем землю: линейный маршрут вдоль Волхова становится скрижалью, по которой посетитель идёт сквозь годы Вещего Олега и мировые события IX века. Медиа — невидимый слой, который усиливает место и умолкает перед памятником: дорога говорит, сопки молчат. Каждая инсталляция работает по принципу «экран плюс» — экран плюс объект, артефакт, человек или портал, и никогда — голый экран. Технология служит тишине и подлинности, а не наоборот.</w:t>
      </w:r>
    </w:p>
    <w:p>
      <w:pPr>
        <w:spacing w:after="120" w:before="200"/>
      </w:pPr>
      <w:r>
        <w:rPr>
          <w:b/>
          <w:color w:val="1F9D57"/>
          <w:sz w:val="26"/>
        </w:rPr>
        <w:t>Почему это нужно проекту</w:t>
      </w:r>
    </w:p>
    <w:p>
      <w:pPr>
        <w:pStyle w:val="ListBullet"/>
        <w:spacing w:after="40"/>
      </w:pPr>
      <w:r>
        <w:rPr>
          <w:sz w:val="22"/>
        </w:rPr>
        <w:t>Музей крепости не делится археологической коллекцией — историю парка можно рассказать только современными цифровыми средствами. Это не недостаток, а наша роль и преимущество.</w:t>
      </w:r>
    </w:p>
    <w:p>
      <w:pPr>
        <w:pStyle w:val="ListBullet"/>
        <w:spacing w:after="40"/>
      </w:pPr>
      <w:r>
        <w:rPr>
          <w:sz w:val="22"/>
        </w:rPr>
        <w:t>Сопки нельзя застраивать и водить на них толпы — медиа (свет, направленный звук, AR, проекции) позволяет «показать невидимое», ничего не возводя: ноль земляных работ, 100% обратимость — сильный аргумент перед органом охраны ОКН.</w:t>
      </w:r>
    </w:p>
    <w:p>
      <w:pPr>
        <w:spacing w:after="120" w:before="200"/>
      </w:pPr>
      <w:r>
        <w:rPr>
          <w:b/>
          <w:color w:val="1F9D57"/>
          <w:sz w:val="26"/>
        </w:rPr>
        <w:t>Что мы предлагаем (медиа-слой)</w:t>
      </w:r>
    </w:p>
    <w:p>
      <w:pPr>
        <w:pStyle w:val="ListBullet"/>
        <w:spacing w:after="40"/>
      </w:pPr>
      <w:r>
        <w:rPr>
          <w:sz w:val="22"/>
        </w:rPr>
        <w:t>«Скрижаль времени» — набережная-бельведер как световая хронолента: годы Олега синхронны мировым событиям IX в.; шаг по маршруту = ход времени.</w:t>
      </w:r>
    </w:p>
    <w:p>
      <w:pPr>
        <w:pStyle w:val="ListBullet"/>
        <w:spacing w:after="40"/>
      </w:pPr>
      <w:r>
        <w:rPr>
          <w:sz w:val="22"/>
        </w:rPr>
        <w:t>Павильон «Начало» — «Порог времени»: иммерсивная экспозиция-портал, нейрозеркало GenMirror, тактильные «слои земли» со звуком эпохи, купольный фильм «Повесть временных лет» (≤5 мин) — «ключ» к парку.</w:t>
      </w:r>
    </w:p>
    <w:p>
      <w:pPr>
        <w:pStyle w:val="ListBullet"/>
        <w:spacing w:after="40"/>
      </w:pPr>
      <w:r>
        <w:rPr>
          <w:sz w:val="22"/>
        </w:rPr>
        <w:t>AR по зонам (3D Gaussian Splatting, WebAR без приложения + стационарные бинокли-AR): пустой рельеф «прорастает» сценой быта IX в.; персональная экскурсия и навигация; на сопках AR деликатно отступает.</w:t>
      </w:r>
    </w:p>
    <w:p>
      <w:pPr>
        <w:pStyle w:val="ListBullet"/>
        <w:spacing w:after="40"/>
      </w:pPr>
      <w:r>
        <w:rPr>
          <w:sz w:val="22"/>
        </w:rPr>
        <w:t>Береговая линия — «Скрижаль с воды»: эко-щадящая световая инсталляция вдоль Волхова, видимая с судов и от крепости — визитная карточка парка.</w:t>
      </w:r>
    </w:p>
    <w:p>
      <w:pPr>
        <w:pStyle w:val="ListBullet"/>
        <w:spacing w:after="40"/>
      </w:pPr>
      <w:r>
        <w:rPr>
          <w:sz w:val="22"/>
        </w:rPr>
        <w:t>По каждой зоне — 3–4 варианта медиа-техник (проекции, LED, кинетика, сенсорика, звук) на выбор бюджета; в каждой зоне один отмечен как рекомендуемый.</w:t>
      </w:r>
    </w:p>
    <w:p>
      <w:pPr>
        <w:spacing w:after="120"/>
      </w:pPr>
      <w:r>
        <w:rPr>
          <w:b w:val="0"/>
          <w:i/>
          <w:color w:val="15140F"/>
          <w:sz w:val="22"/>
        </w:rPr>
        <w:t>Финал маршрута — тишина у «Олеговой могилы»: звук гаснет, на выходе возвращается, замыкая путь.</w:t>
      </w:r>
    </w:p>
    <w:p>
      <w:pPr>
        <w:spacing w:after="120" w:before="200"/>
      </w:pPr>
      <w:r>
        <w:rPr>
          <w:b/>
          <w:color w:val="1F9D57"/>
          <w:sz w:val="26"/>
        </w:rPr>
        <w:t>Реализуемость и деликатность</w:t>
      </w:r>
    </w:p>
    <w:p>
      <w:pPr>
        <w:pStyle w:val="ListBullet"/>
        <w:spacing w:after="40"/>
      </w:pPr>
      <w:r>
        <w:rPr>
          <w:sz w:val="22"/>
        </w:rPr>
        <w:t>Только медиа и ПО + обратимые/фестивальные конструкции; без капитального строительства.</w:t>
      </w:r>
    </w:p>
    <w:p>
      <w:pPr>
        <w:pStyle w:val="ListBullet"/>
        <w:spacing w:after="40"/>
      </w:pPr>
      <w:r>
        <w:rPr>
          <w:sz w:val="22"/>
        </w:rPr>
        <w:t>Эко-режим: свет full-cutoff ≤2200K, направленный звук, тёмное небо и биоритмы птиц сохранены; согласуется с принципами DarkSky и Венецианской хартии (обратимость).</w:t>
      </w:r>
    </w:p>
    <w:p>
      <w:pPr>
        <w:pStyle w:val="ListBullet"/>
        <w:spacing w:after="40"/>
      </w:pPr>
      <w:r>
        <w:rPr>
          <w:sz w:val="22"/>
        </w:rPr>
        <w:t>Все исторические сюжеты — с научным консультантом (ИИМК РАН), до верификации помечаются как реконструкция-гипотеза.</w:t>
      </w:r>
    </w:p>
    <w:p>
      <w:pPr>
        <w:spacing w:after="120" w:before="200"/>
      </w:pPr>
      <w:r>
        <w:rPr>
          <w:b/>
          <w:color w:val="1F9D57"/>
          <w:sz w:val="26"/>
        </w:rPr>
        <w:t>Коммерческое предложение — 3 тира (наша часть, без застройки)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907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Тир</w:t>
            </w:r>
          </w:p>
        </w:tc>
        <w:tc>
          <w:tcPr>
            <w:tcW w:type="dxa" w:w="1247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CAPEX</w:t>
            </w:r>
          </w:p>
        </w:tc>
        <w:tc>
          <w:tcPr>
            <w:tcW w:type="dxa" w:w="1247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OPEX/год</w:t>
            </w:r>
          </w:p>
        </w:tc>
        <w:tc>
          <w:tcPr>
            <w:tcW w:type="dxa" w:w="1020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Срок</w:t>
            </w:r>
          </w:p>
        </w:tc>
        <w:tc>
          <w:tcPr>
            <w:tcW w:type="dxa" w:w="3855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Состав</w:t>
            </w:r>
          </w:p>
        </w:tc>
      </w:tr>
      <w:tr>
        <w:tc>
          <w:tcPr>
            <w:tcW w:type="dxa" w:w="907"/>
          </w:tcPr>
          <w:p>
            <w:r/>
            <w:r>
              <w:rPr>
                <w:b/>
                <w:sz w:val="20"/>
              </w:rPr>
              <w:t>Лайт</w:t>
            </w:r>
          </w:p>
        </w:tc>
        <w:tc>
          <w:tcPr>
            <w:tcW w:type="dxa" w:w="1247"/>
          </w:tcPr>
          <w:p>
            <w:r/>
            <w:r>
              <w:rPr>
                <w:sz w:val="20"/>
              </w:rPr>
              <w:t>~200 млн ₽</w:t>
            </w:r>
          </w:p>
        </w:tc>
        <w:tc>
          <w:tcPr>
            <w:tcW w:type="dxa" w:w="1247"/>
          </w:tcPr>
          <w:p>
            <w:r/>
            <w:r>
              <w:rPr>
                <w:sz w:val="20"/>
              </w:rPr>
              <w:t>~16–22 млн</w:t>
            </w:r>
          </w:p>
        </w:tc>
        <w:tc>
          <w:tcPr>
            <w:tcW w:type="dxa" w:w="1020"/>
          </w:tcPr>
          <w:p>
            <w:r/>
            <w:r>
              <w:rPr>
                <w:sz w:val="20"/>
              </w:rPr>
              <w:t>6–9 мес</w:t>
            </w:r>
          </w:p>
        </w:tc>
        <w:tc>
          <w:tcPr>
            <w:tcW w:type="dxa" w:w="3855"/>
          </w:tcPr>
          <w:p>
            <w:r/>
            <w:r>
              <w:rPr>
                <w:sz w:val="20"/>
              </w:rPr>
              <w:t>Павильон-порог + сквозной AR-гид + лёгкая Скрижаль + береговая</w:t>
            </w:r>
          </w:p>
        </w:tc>
      </w:tr>
      <w:tr>
        <w:tc>
          <w:tcPr>
            <w:tcW w:type="dxa" w:w="907"/>
          </w:tcPr>
          <w:p>
            <w:r/>
            <w:r>
              <w:rPr>
                <w:b/>
                <w:sz w:val="20"/>
              </w:rPr>
              <w:t>База</w:t>
            </w:r>
          </w:p>
        </w:tc>
        <w:tc>
          <w:tcPr>
            <w:tcW w:type="dxa" w:w="1247"/>
          </w:tcPr>
          <w:p>
            <w:r/>
            <w:r>
              <w:rPr>
                <w:sz w:val="20"/>
              </w:rPr>
              <w:t>~450 млн ₽</w:t>
            </w:r>
          </w:p>
        </w:tc>
        <w:tc>
          <w:tcPr>
            <w:tcW w:type="dxa" w:w="1247"/>
          </w:tcPr>
          <w:p>
            <w:r/>
            <w:r>
              <w:rPr>
                <w:sz w:val="20"/>
              </w:rPr>
              <w:t>~35–50 млн</w:t>
            </w:r>
          </w:p>
        </w:tc>
        <w:tc>
          <w:tcPr>
            <w:tcW w:type="dxa" w:w="1020"/>
          </w:tcPr>
          <w:p>
            <w:r/>
            <w:r>
              <w:rPr>
                <w:sz w:val="20"/>
              </w:rPr>
              <w:t>10–14 мес</w:t>
            </w:r>
          </w:p>
        </w:tc>
        <w:tc>
          <w:tcPr>
            <w:tcW w:type="dxa" w:w="3855"/>
          </w:tcPr>
          <w:p>
            <w:r/>
            <w:r>
              <w:rPr>
                <w:sz w:val="20"/>
              </w:rPr>
              <w:t>Фотореалистичный AR, протяжённая Скрижаль, точечные медиа в зонах</w:t>
            </w:r>
          </w:p>
        </w:tc>
      </w:tr>
      <w:tr>
        <w:tc>
          <w:tcPr>
            <w:tcW w:type="dxa" w:w="907"/>
          </w:tcPr>
          <w:p>
            <w:r/>
            <w:r>
              <w:rPr>
                <w:b/>
                <w:sz w:val="20"/>
              </w:rPr>
              <w:t>Флагман</w:t>
            </w:r>
          </w:p>
        </w:tc>
        <w:tc>
          <w:tcPr>
            <w:tcW w:type="dxa" w:w="1247"/>
          </w:tcPr>
          <w:p>
            <w:r/>
            <w:r>
              <w:rPr>
                <w:sz w:val="20"/>
              </w:rPr>
              <w:t>~700 млн ₽</w:t>
            </w:r>
          </w:p>
        </w:tc>
        <w:tc>
          <w:tcPr>
            <w:tcW w:type="dxa" w:w="1247"/>
          </w:tcPr>
          <w:p>
            <w:r/>
            <w:r>
              <w:rPr>
                <w:sz w:val="20"/>
              </w:rPr>
              <w:t>~60–80 млн</w:t>
            </w:r>
          </w:p>
        </w:tc>
        <w:tc>
          <w:tcPr>
            <w:tcW w:type="dxa" w:w="1020"/>
          </w:tcPr>
          <w:p>
            <w:r/>
            <w:r>
              <w:rPr>
                <w:sz w:val="20"/>
              </w:rPr>
              <w:t>16–22 мес</w:t>
            </w:r>
          </w:p>
        </w:tc>
        <w:tc>
          <w:tcPr>
            <w:tcW w:type="dxa" w:w="3855"/>
          </w:tcPr>
          <w:p>
            <w:r/>
            <w:r>
              <w:rPr>
                <w:sz w:val="20"/>
              </w:rPr>
              <w:t>AR по всем зонам, премиум-Скрижаль, амфитеатр, R&amp;D-платформа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b w:val="0"/>
          <w:i w:val="0"/>
          <w:color w:val="6B6B63"/>
          <w:sz w:val="20"/>
        </w:rPr>
        <w:t>Цифры оценочные, бенчмарк — реализованное КП «Новая Голландия». В рамке «весь парк без застройки = 800 млн ₽». Рекомендуем старт с Phase-0 пилота (≈30–50 млн ₽): «Скрижаль-Лайт» + один портал павильона — быстрый видимый результат и снятие рисков.</w:t>
      </w:r>
    </w:p>
    <w:p>
      <w:r>
        <w:br w:type="page"/>
      </w:r>
    </w:p>
    <w:p>
      <w:pPr>
        <w:spacing w:after="120" w:before="0"/>
      </w:pPr>
      <w:r>
        <w:rPr>
          <w:b/>
          <w:color w:val="1F9D57"/>
          <w:sz w:val="28"/>
        </w:rPr>
        <w:t>Врезка для экономического раздела (для Я. Кит)</w:t>
      </w:r>
    </w:p>
    <w:p>
      <w:pPr>
        <w:spacing w:after="160"/>
      </w:pPr>
      <w:r>
        <w:rPr>
          <w:b/>
          <w:i w:val="0"/>
          <w:color w:val="15140F"/>
          <w:sz w:val="22"/>
        </w:rPr>
        <w:t>Медиа- и интерактивная составляющая — параметры для экономической модели.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3628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Параметр</w:t>
            </w:r>
          </w:p>
        </w:tc>
        <w:tc>
          <w:tcPr>
            <w:tcW w:type="dxa" w:w="1474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Лайт</w:t>
            </w:r>
          </w:p>
        </w:tc>
        <w:tc>
          <w:tcPr>
            <w:tcW w:type="dxa" w:w="1474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База</w:t>
            </w:r>
          </w:p>
        </w:tc>
        <w:tc>
          <w:tcPr>
            <w:tcW w:type="dxa" w:w="1474"/>
            <w:shd w:val="clear" w:fill="1f9d57"/>
          </w:tcPr>
          <w:p>
            <w:r/>
            <w:r>
              <w:rPr>
                <w:b/>
                <w:color w:val="FFFFFF"/>
                <w:sz w:val="20"/>
              </w:rPr>
              <w:t>Флагман</w:t>
            </w:r>
          </w:p>
        </w:tc>
      </w:tr>
      <w:tr>
        <w:tc>
          <w:tcPr>
            <w:tcW w:type="dxa" w:w="3628"/>
          </w:tcPr>
          <w:p>
            <w:r/>
            <w:r>
              <w:rPr>
                <w:b/>
                <w:sz w:val="20"/>
              </w:rPr>
              <w:t>CAPEX (медиа+ПО), млн ₽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~200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~450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~700</w:t>
            </w:r>
          </w:p>
        </w:tc>
      </w:tr>
      <w:tr>
        <w:tc>
          <w:tcPr>
            <w:tcW w:type="dxa" w:w="3628"/>
          </w:tcPr>
          <w:p>
            <w:r/>
            <w:r>
              <w:rPr>
                <w:b/>
                <w:sz w:val="20"/>
              </w:rPr>
              <w:t>OPEX/год, млн ₽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~16–22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~35–50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~60–80</w:t>
            </w:r>
          </w:p>
        </w:tc>
      </w:tr>
      <w:tr>
        <w:tc>
          <w:tcPr>
            <w:tcW w:type="dxa" w:w="3628"/>
          </w:tcPr>
          <w:p>
            <w:r/>
            <w:r>
              <w:rPr>
                <w:b/>
                <w:sz w:val="20"/>
              </w:rPr>
              <w:t>TCO 5 лет, млн ₽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~290–310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~640–700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~1020–1100</w:t>
            </w:r>
          </w:p>
        </w:tc>
      </w:tr>
      <w:tr>
        <w:tc>
          <w:tcPr>
            <w:tcW w:type="dxa" w:w="3628"/>
          </w:tcPr>
          <w:p>
            <w:r/>
            <w:r>
              <w:rPr>
                <w:b/>
                <w:sz w:val="20"/>
              </w:rPr>
              <w:t>Срок реализации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6–9 мес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10–14 мес</w:t>
            </w:r>
          </w:p>
        </w:tc>
        <w:tc>
          <w:tcPr>
            <w:tcW w:type="dxa" w:w="1474"/>
          </w:tcPr>
          <w:p>
            <w:r/>
            <w:r>
              <w:rPr>
                <w:sz w:val="20"/>
              </w:rPr>
              <w:t>16–22 мес</w:t>
            </w:r>
          </w:p>
        </w:tc>
      </w:tr>
    </w:tbl>
    <w:p>
      <w:pPr>
        <w:spacing w:after="40"/>
      </w:pPr>
    </w:p>
    <w:p>
      <w:pPr>
        <w:spacing w:after="120" w:before="200"/>
      </w:pPr>
      <w:r>
        <w:rPr>
          <w:b/>
          <w:color w:val="15140F"/>
          <w:sz w:val="24"/>
        </w:rPr>
        <w:t>Состав OPEX</w:t>
      </w:r>
    </w:p>
    <w:p>
      <w:pPr>
        <w:pStyle w:val="ListBullet"/>
        <w:spacing w:after="40"/>
      </w:pPr>
      <w:r>
        <w:rPr>
          <w:sz w:val="22"/>
        </w:rPr>
        <w:t>Электроэнергия; ТО и замена ресурса (лампы/проекторы/LED); обновление контента; ПО-лицензии и удалённый мониторинг; персонал (1–3 чел.); вандало-/климатозащита.</w:t>
      </w:r>
    </w:p>
    <w:p>
      <w:pPr>
        <w:spacing w:after="120" w:before="200"/>
      </w:pPr>
      <w:r>
        <w:rPr>
          <w:b/>
          <w:color w:val="15140F"/>
          <w:sz w:val="24"/>
        </w:rPr>
        <w:t>Драйверы дохода (для модели)</w:t>
      </w:r>
    </w:p>
    <w:p>
      <w:pPr>
        <w:pStyle w:val="ListBullet"/>
        <w:spacing w:after="40"/>
      </w:pPr>
      <w:r>
        <w:rPr>
          <w:sz w:val="22"/>
        </w:rPr>
        <w:t>Рост времени пребывания (dwell time) и повторные визиты.</w:t>
      </w:r>
    </w:p>
    <w:p>
      <w:pPr>
        <w:pStyle w:val="ListBullet"/>
        <w:spacing w:after="40"/>
      </w:pPr>
      <w:r>
        <w:rPr>
          <w:sz w:val="22"/>
        </w:rPr>
        <w:t>Событийная программа (амфитеатр); вечерний/ночной тариф — свет работает после заката, удлиняет день парка.</w:t>
      </w:r>
    </w:p>
    <w:p>
      <w:pPr>
        <w:pStyle w:val="ListBullet"/>
        <w:spacing w:after="40"/>
      </w:pPr>
      <w:r>
        <w:rPr>
          <w:sz w:val="22"/>
        </w:rPr>
        <w:t>Органический UGC-охват (фотогеничность) без доп. маркетинг-бюджета.</w:t>
      </w:r>
    </w:p>
    <w:p>
      <w:pPr>
        <w:pStyle w:val="ListBullet"/>
        <w:spacing w:after="40"/>
      </w:pPr>
      <w:r>
        <w:rPr>
          <w:sz w:val="22"/>
        </w:rPr>
        <w:t>Ориентир: при ~100 тыс. визитов/год и среднем чеке 1500–2500 ₽ медиа-атрибутируемая выручка ~150–250 млн ₽/год.</w:t>
      </w:r>
    </w:p>
    <w:p>
      <w:pPr>
        <w:spacing w:after="200"/>
      </w:pPr>
      <w:r>
        <w:rPr>
          <w:b w:val="0"/>
          <w:i w:val="0"/>
          <w:color w:val="6B6B63"/>
          <w:sz w:val="20"/>
        </w:rPr>
        <w:t>Фазирование: старт с Phase-0 пилота (≈30–50 млн ₽). Все цифры оценочные, уточняются вендор-котировками. Считается только медиа+ПО часть; застройка/ландшафт Студии 44 — вне сметы.</w:t>
      </w:r>
    </w:p>
    <w:p>
      <w:pPr>
        <w:spacing w:after="120"/>
      </w:pPr>
      <w:r>
        <w:rPr>
          <w:b w:val="0"/>
          <w:i w:val="0"/>
          <w:color w:val="6B6B63"/>
          <w:sz w:val="18"/>
        </w:rPr>
        <w:t>ArchiDigital · медиаинсталляции и ПО для наследия и природных территорий · контакт: t.me/mantunamochil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5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